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291</w:t>
      </w:r>
    </w:p>
    <w:p>
      <w:r>
        <w:t>Bundesgericht (BGE), 1992-07-29, FR</w:t>
      </w:r>
    </w:p>
    <w:p>
      <w:r>
        <w:rPr>
          <w:b/>
        </w:rPr>
        <w:t xml:space="preserve">Quelle: </w:t>
      </w:r>
      <w:r>
        <w:t>https://mcp.opencaselaw.ch/entscheid/bge_118 IV 291</w:t>
      </w:r>
    </w:p>
    <w:p>
      <w:r>
        <w:t>FR: ATF 118 IV 291</w:t>
      </w:r>
    </w:p>
    <w:p>
      <w:r>
        <w:t>IT: DTF 118 IV 291</w:t>
      </w:r>
    </w:p>
    <w:p>
      <w:pPr>
        <w:pStyle w:val="Heading2"/>
      </w:pPr>
      <w:r>
        <w:t>Regeste</w:t>
      </w:r>
    </w:p>
    <w:p>
      <w:r>
        <w:t>Regeste Art. 36a Abs. 2 OG; rechtsmissbräuchliche Prozessführung. Wer aus reiner Schikane auf einem Weg einen Pflock anbringt, um dem Berechtigten die Ausübung des Wegrechts zu erschweren, und in der Folge gegen den Berechtigten, der den Pflock entfernt, unter dem Vorwurf, nicht den Rechtsweg beschritten zu haben, angesichts eines Schadens von wenigen Franken ein Verfahren wegen Sachbeschädigung anstrengt, handelt durch die Einreichung einer Nichtigkeitsbeschwerde gegen das den Berechtigten freisprechende Urteil rechtsmissbräuchlich.</w:t>
      </w:r>
    </w:p>
    <w:p>
      <w:pPr>
        <w:pStyle w:val="Heading2"/>
      </w:pPr>
      <w:r>
        <w:t>Erwägungen</w:t>
      </w:r>
    </w:p>
    <w:p>
      <w:r>
        <w:rPr>
          <w:b/>
        </w:rPr>
        <w:t>E. 2</w:t>
      </w:r>
    </w:p>
    <w:p>
      <w:r>
        <w:t>a) Le recourant soutient que la cour cantonale a violé l' art. 145 CP en confirmant l'acquittement de S. de ce chef. Selon les constatations de fait de l'autorité cantonale - qui lient la Cour de cassation ( art. 277bis al. 1 PPF ) -, l'enlèvement des piquets par S. a causé un seul dégât matériel, à savoir le bris d'un cadenas valant quelques francs. SCHUBARTH estime que des dégâts vraiment minimes ne doivent pas entraîner l'application de l' art. 145 CP (SCHUBARTH, Kommentar Strafrecht, Bes. Teil II, Art. 145 Nos 20 et 23). On peut se demander d'autre part si l'enlèvement du piquet n'était pas un acte permis par la loi au sens de l' art. 32 CP . Il a été constaté en fait que la présence du piquet gênait le passage sur le chemin, alors que S. était au bénéfice d'une servitude de passage. Sur la base de l' art. 737 al. 1 CC , le bénéficiaire d'une telle servitude peut en principe accomplir les actes nécessaires pour dégager le passage (LIVER, Zürcher Kommentar, Art. 737 No 13; ATF 115 IV 29 consid. 3a). L' art. 926 al. 1 CC lui permet même de repousser par la force tout acte qui le trouble dans la possession de son droit (LIVER, op.cit., Art. 737 Nos 127, 146 et 149). Il est vrai cependant que l'on admet en principe que l' art. 926 CC ne peut être invoqué qu'à l'encontre d'un tiers, et non pas lorsque l'existence ou l'étendue du droit de passage est lui-même litigieux entre le bénéficiaire et le propriétaire grevé (STARK, Berner Kommentar, vor Art. 926-929 No 57). Lorsqu'on songe que le piquet, entravant le passage, a été placé à cet endroit-là, selon les faits retenus, manifestement par pur esprit de BGE 118 IV 291 S. 293 chicane, on peut même se demander si S. ne se trouvait pas en situation de devoir légitimement défendre son droit, ce qui exclurait sa condamnation pénale, vu la proportionnalité du moyen, par application de l' art. 33 CP (TRECHSEL, Kurzkommentar StGB, Art. 33 Nos 4, 7-10; STRATENWERTH, Allg. Teil I p. 212 ss). Il n'est pas nécessaire de trancher ces questions. Selon les faits retenus, le recourant a fait placer le piquet litigieux, qui entrave l'exercice du droit de passage, dans le seul but de contrarier sa voisine; il a ainsi agi par pure chicane. Il est significatif d'observer sur ce point qu'il ne prétend pas avoir un droit de maintenir un piquet à cet endroit. Dans ces circonstances, il commet un abus de droit, lorsqu'il exige de sa partie adverse qu'elle procède par la voie judiciaire, avec les frais que cela implique, plutôt que d'enlever simplement le piquet, en causant ainsi au perturbateur un préjudice minime, aussi bien sur le plan objectif que subjectif, qu'il estime lui-même à 5 fr. 30. En agissant jusque devant la juridiction suprême du pays, dans de telles circonstances, pour que sa voisine soit condamnée à raison d'un préjudice de 5 fr. 30, il commet un abus manifeste de procédure, de sorte que son grief doit être écarté par application de l' art. 36a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